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tblCellSpacing w:w="60" w:type="dxa"/>
        <w:tblInd w:w="13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E7F0F9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6746"/>
      </w:tblGrid>
      <w:tr w:rsidR="002306B0" w14:paraId="520C7360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372DE4A3" w14:textId="77777777" w:rsidR="002306B0" w:rsidRDefault="00D34954">
            <w:pPr>
              <w:spacing w:after="0" w:line="240" w:lineRule="auto"/>
            </w:pPr>
            <w:r>
              <w:rPr>
                <w:b/>
              </w:rPr>
              <w:t>RKP broj</w:t>
            </w:r>
          </w:p>
        </w:tc>
        <w:tc>
          <w:tcPr>
            <w:tcW w:w="0" w:type="auto"/>
            <w:shd w:val="clear" w:color="auto" w:fill="E7F0F9"/>
          </w:tcPr>
          <w:p w14:paraId="76A92564" w14:textId="77777777" w:rsidR="002306B0" w:rsidRDefault="00D34954">
            <w:pPr>
              <w:spacing w:after="0" w:line="240" w:lineRule="auto"/>
            </w:pPr>
            <w:r>
              <w:t>37898</w:t>
            </w:r>
          </w:p>
        </w:tc>
      </w:tr>
      <w:tr w:rsidR="002306B0" w14:paraId="3C9C78F7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42B30211" w14:textId="77777777" w:rsidR="002306B0" w:rsidRDefault="00D34954">
            <w:pPr>
              <w:spacing w:after="0" w:line="240" w:lineRule="auto"/>
            </w:pPr>
            <w:r>
              <w:rPr>
                <w:b/>
              </w:rPr>
              <w:t>Naziv obveznika</w:t>
            </w:r>
          </w:p>
        </w:tc>
        <w:tc>
          <w:tcPr>
            <w:tcW w:w="0" w:type="auto"/>
            <w:shd w:val="clear" w:color="auto" w:fill="E7F0F9"/>
          </w:tcPr>
          <w:p w14:paraId="686317FF" w14:textId="77777777" w:rsidR="002306B0" w:rsidRDefault="00D34954">
            <w:pPr>
              <w:spacing w:after="0" w:line="240" w:lineRule="auto"/>
            </w:pPr>
            <w:r>
              <w:t>OPĆINA BEDEKOVČINA</w:t>
            </w:r>
          </w:p>
        </w:tc>
      </w:tr>
      <w:tr w:rsidR="002306B0" w14:paraId="5869097B" w14:textId="77777777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59D961B6" w14:textId="77777777" w:rsidR="002306B0" w:rsidRDefault="00D34954">
            <w:pPr>
              <w:spacing w:after="0" w:line="240" w:lineRule="auto"/>
            </w:pPr>
            <w:r>
              <w:rPr>
                <w:b/>
              </w:rPr>
              <w:t>Razina</w:t>
            </w:r>
          </w:p>
        </w:tc>
        <w:tc>
          <w:tcPr>
            <w:tcW w:w="0" w:type="auto"/>
            <w:shd w:val="clear" w:color="auto" w:fill="E7F0F9"/>
          </w:tcPr>
          <w:p w14:paraId="038675FC" w14:textId="77777777" w:rsidR="002306B0" w:rsidRDefault="00D34954">
            <w:pPr>
              <w:spacing w:after="0" w:line="240" w:lineRule="auto"/>
            </w:pPr>
            <w:r>
              <w:t>22</w:t>
            </w:r>
          </w:p>
        </w:tc>
      </w:tr>
    </w:tbl>
    <w:p w14:paraId="509D91B8" w14:textId="77777777" w:rsidR="002306B0" w:rsidRDefault="00D34954">
      <w:r>
        <w:br/>
      </w:r>
    </w:p>
    <w:p w14:paraId="47EC181C" w14:textId="77777777" w:rsidR="002306B0" w:rsidRDefault="00D34954">
      <w:pPr>
        <w:spacing w:line="240" w:lineRule="auto"/>
        <w:jc w:val="center"/>
      </w:pPr>
      <w:r>
        <w:rPr>
          <w:b/>
          <w:sz w:val="28"/>
        </w:rPr>
        <w:t>BILJEŠKE UZ FINANCIJSKE IZVJEŠTAJE</w:t>
      </w:r>
    </w:p>
    <w:p w14:paraId="4765C2F6" w14:textId="77777777" w:rsidR="002306B0" w:rsidRDefault="00D34954">
      <w:pPr>
        <w:spacing w:line="240" w:lineRule="auto"/>
        <w:jc w:val="center"/>
      </w:pPr>
      <w:r>
        <w:rPr>
          <w:b/>
          <w:sz w:val="28"/>
        </w:rPr>
        <w:t>ZA RAZDOBLJE</w:t>
      </w:r>
    </w:p>
    <w:p w14:paraId="25F53A93" w14:textId="77777777" w:rsidR="002306B0" w:rsidRDefault="00D34954">
      <w:pPr>
        <w:spacing w:line="240" w:lineRule="auto"/>
        <w:jc w:val="center"/>
      </w:pPr>
      <w:r>
        <w:rPr>
          <w:b/>
          <w:sz w:val="28"/>
        </w:rPr>
        <w:t>I - VI 2025.</w:t>
      </w:r>
    </w:p>
    <w:p w14:paraId="4BD4DFC2" w14:textId="77777777" w:rsidR="002306B0" w:rsidRDefault="002306B0"/>
    <w:p w14:paraId="409904D2" w14:textId="77777777" w:rsidR="002306B0" w:rsidRDefault="00D34954">
      <w:pPr>
        <w:keepNext/>
        <w:spacing w:line="240" w:lineRule="auto"/>
        <w:jc w:val="center"/>
      </w:pPr>
      <w:r>
        <w:rPr>
          <w:b/>
          <w:sz w:val="28"/>
        </w:rPr>
        <w:t>Izvještaj o prihodima i rashodima, primicima i izdacima</w:t>
      </w:r>
    </w:p>
    <w:p w14:paraId="495AC2FB" w14:textId="77777777" w:rsidR="002306B0" w:rsidRDefault="00D34954">
      <w:pPr>
        <w:keepNext/>
        <w:spacing w:line="240" w:lineRule="auto"/>
        <w:jc w:val="center"/>
      </w:pPr>
      <w:r>
        <w:rPr>
          <w:sz w:val="28"/>
        </w:rPr>
        <w:t>Bilješka 1.</w:t>
      </w:r>
    </w:p>
    <w:tbl>
      <w:tblPr>
        <w:tblW w:w="0" w:type="auto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2306B0" w14:paraId="58BAA83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9F6F718" w14:textId="77777777" w:rsidR="002306B0" w:rsidRDefault="00D34954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2721A60" w14:textId="77777777" w:rsidR="002306B0" w:rsidRDefault="00D34954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E6AB9BA" w14:textId="77777777" w:rsidR="002306B0" w:rsidRDefault="00D34954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F640124" w14:textId="77777777" w:rsidR="002306B0" w:rsidRDefault="00D34954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A8CA390" w14:textId="77777777" w:rsidR="002306B0" w:rsidRDefault="00D34954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06B8ADB" w14:textId="77777777" w:rsidR="002306B0" w:rsidRDefault="00D34954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2306B0" w14:paraId="614676FD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BD4D3E0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ED0F630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(šifre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1818A05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198C1F3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2.433.475,38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C5562D6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2.665.915,09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2BDAA99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109,6</w:t>
            </w:r>
          </w:p>
        </w:tc>
      </w:tr>
      <w:tr w:rsidR="002306B0" w14:paraId="026378DA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74FA5B8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5956D91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(šifre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09938D5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125FF40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1.172.418,61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9BDF2BE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2.041.050,99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7166D15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174,1</w:t>
            </w:r>
          </w:p>
        </w:tc>
      </w:tr>
      <w:tr w:rsidR="002306B0" w14:paraId="7333EFFB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D1FFBD7" w14:textId="77777777" w:rsidR="002306B0" w:rsidRDefault="002306B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F0D4D3D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 PRIHODA POSLOVANJA (šifre 6-Z005)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C58D762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74B833F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1.261.056,77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6F6EE04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624.864,10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A15D909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49,6</w:t>
            </w:r>
          </w:p>
        </w:tc>
      </w:tr>
      <w:tr w:rsidR="002306B0" w14:paraId="7BFDFA76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A8A557D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7FE6611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nefinancijske imovine (šifre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59E62DC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8434CBD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176,94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8E3DF0D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8.075,12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8F0E13E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4563,8</w:t>
            </w:r>
          </w:p>
        </w:tc>
      </w:tr>
      <w:tr w:rsidR="002306B0" w14:paraId="73B8E92E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97E7322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313B957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nefinancijske imovine (šifre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6BA1E38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D25F521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1.397.082,01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439C1F7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954.936,76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6D2E570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68,4</w:t>
            </w:r>
          </w:p>
        </w:tc>
      </w:tr>
      <w:tr w:rsidR="002306B0" w14:paraId="48F8AA2A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7D66E58" w14:textId="77777777" w:rsidR="002306B0" w:rsidRDefault="002306B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853D759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OD NEFINANCIJSKE IMOVINE (šifre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3793FB5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D8DDC72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1.396.905,07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64EC527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946.861,64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6EE2470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67,8</w:t>
            </w:r>
          </w:p>
        </w:tc>
      </w:tr>
      <w:tr w:rsidR="002306B0" w14:paraId="1B5CAB60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6A4E00F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E3447E8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od financijske imovine i zaduživanja (šifre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6B792C8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B86D41B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991.711,17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E83D44B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300.404,79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2741BD5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30,3</w:t>
            </w:r>
          </w:p>
        </w:tc>
      </w:tr>
      <w:tr w:rsidR="002306B0" w14:paraId="49C4115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D27320E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3B8150E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Izdaci za financijsku imovinu i otplate zajmova (šifre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80CAF58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9AFCD84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70.169,18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86BEEE3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431.986,77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FB83B34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615,6</w:t>
            </w:r>
          </w:p>
        </w:tc>
      </w:tr>
      <w:tr w:rsidR="002306B0" w14:paraId="4C2B1175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1D9C2BF" w14:textId="77777777" w:rsidR="002306B0" w:rsidRDefault="002306B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A10DD33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PRIMITAKA OD FINANCIJSKE IMOVINE I ZADUŽIVANJA (šifre 5-8)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402AFC5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61DD290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123A86C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131.581,98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000DCFF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  <w:tr w:rsidR="002306B0" w14:paraId="4CEC8384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B498D3F" w14:textId="77777777" w:rsidR="002306B0" w:rsidRDefault="002306B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FBC7843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I PRIMITAKA (šifre Y345-X678)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C5E7C08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FC902A5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D772F36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453.579,52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05AF818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</w:tbl>
    <w:p w14:paraId="287E2DC8" w14:textId="77777777" w:rsidR="002306B0" w:rsidRDefault="002306B0">
      <w:pPr>
        <w:spacing w:after="0"/>
      </w:pPr>
    </w:p>
    <w:p w14:paraId="0BAF086F" w14:textId="77777777" w:rsidR="002306B0" w:rsidRDefault="00D34954">
      <w:pPr>
        <w:spacing w:line="240" w:lineRule="auto"/>
        <w:jc w:val="both"/>
      </w:pPr>
      <w:r>
        <w:t>Prihodi poslovanja ostvareni su u ukupnom iznosu od 2.665.915,09 eura što je za 9 % više od istog razdoblja protekle godine.  61 Prihodi od poreza – više za 255.759,69 eura, za 18 % Prihod od poreza na dohodak veći je za 285.081,81 EUR u odnosu na isto razdoblje prethodne godine, odnosno za 21 %.  Ostvarenje poreza na imovinu manje je u odnosu na isto razdoblje prošle godine iz razloga jer je prodan manji dio nekretnina iz čega proizlazi i manji porez na promet nekretnina.  63 Pomoći iz inozemstva i od subj</w:t>
      </w:r>
      <w:r>
        <w:t xml:space="preserve">ekata unutar općeg proračuna – više za 19.135,39 eura, za 2 % Povećanje se pretežito odnosi na sredstva dobivena od Ministarstva </w:t>
      </w:r>
      <w:r>
        <w:lastRenderedPageBreak/>
        <w:t>financija za fiskalno izravnanje poreza na dohodak, čije je ostvarenje veće u odnosu na prošlu godinu.  64 Prihodi od imovine – manje za 675,39 eura, za 12 % Zatezna kamata od obveznika plaćanja naknada ostvarena je manje u odnosu na isto razdoblje prošle godine. Također, manje je ostvaren prihod od iznajmljivanja imovine te spomenička renta. Naknada za koncesiju u ovoj godini ost</w:t>
      </w:r>
      <w:r>
        <w:t>varena je više jer su uplate bile u prvoj polovici godine za razliku od prošle godine gdje u tom izvještajnom razdoblju uplata nije bilo.  65 Prihodi od upravnih i administrativnih pristojbi, pristojbi po posebnim propisima i naknada – manje za 280.043,18 eura, za 17 % Značajnije odstupanje odnosi se na ostvarenje prihoda od komunalnog doprinosa i komunalne naknade koji su u ovoj godini prihodovani manje nego prošle godine u istom izvještajnom razdoblju.  66 Prihodi od prodaje proizvoda i robe te pruženih u</w:t>
      </w:r>
      <w:r>
        <w:t>sluga, prihodi od donacija te povrati po protestiranim jamstvima – manje za 27.620,83 eura, za 50 % Prihod se odnosi na sufinanciranje asfaltiranja nerazvrstanih ceste te na sufinanciranje katastarske izmjere koji je u ovoj godini značajno manji u odnosu na proteklu godinu.  68 Kazne, upravne mjere i ostali prihodi – više za 13.884,03 eura, za 2.325 % Manji dio većeg ostvarenja prihoda u odnosu na isto razdoblje prošle godine odnosi se na naplaćene kazne poljoprivrednog redara, a veći dio odnosi se na priho</w:t>
      </w:r>
      <w:r>
        <w:t xml:space="preserve">d po dobivenim sudskim sporovima te na povrat troškova za uklanjanje otpada u </w:t>
      </w:r>
      <w:proofErr w:type="spellStart"/>
      <w:r>
        <w:t>Poznanovcu</w:t>
      </w:r>
      <w:proofErr w:type="spellEnd"/>
      <w:r>
        <w:t>.  Rashodi poslovanja ostvareni su u ukupnom iznosu od 2.041.050,99 eura što je za 74 % više od istog razdoblja protekle godine.  31 Rashodi za zaposlene – više za 39.046,20 eura, za 34 % Rashodi za zaposlene rezultat je novih zaposlenih u tekućoj godini sa spremom različitom od onih prijašnje godine i rezultat je povećanja koeficijenata u drugoj polovici protekle godine.  32 Materijalni rashodi – više za 275.690,54 eura</w:t>
      </w:r>
      <w:r>
        <w:t>, za 57 % Materijalni rashodi u tekućoj godini veći su iz razloga jer se u prvoj polovici tekuće godine realiziralo više rashoda za usluge i ostale nespomenute rashode poslovanja nego u istom vremenskom periodu prošle godine.  34 Financijski rashodi – više za 4.701,05 eura, za 32 % U prvoj polovici tekuće godine postojala je veća obveza za kamatu po primljenim kreditima, pa je iz toga ove godine rashod veći u odnosu na isti period prošle godine.  35 Subvencije – manje za 335,55 eura, za 13 % Subvencije su n</w:t>
      </w:r>
      <w:r>
        <w:t>eznatno manje nego prošle godine, a odnose se na subvenciju kamate poduzetnicima.  36 Pomoći dane u inozemstvo i unutar općeg proračuna – više za 331.770,63 eura, za 93 % Dio povećanja u odnosu na isto izvještajno razdoblje prošle godine odnosi se na dodatno financiranje Zagorske javne vatrogasne postrojbe, a najznačajniji dio odnosi se na povećano financiranje Dječjeg vrtića Bedekovčina radi povećanja plaća djelatnicama vrtića i većih materijalnih rashoda.  37 Naknade građanima i kućanstvima na temelju osi</w:t>
      </w:r>
      <w:r>
        <w:t>guranja i druge naknade – više za 20.874,64 eura, za 24 % Naknade su za navedeni iznos realizirane više nego u istom razdoblju prethodne godine, i to pretežito naknade u naravi.  38 Rashodi za donacije, kazne, naknade šteta i kapitalne pomoći – više za 196.884,87 eura, za 166 % Tekuće i kapitalne donacije neprofitnim organizacijama (udrugama) izvršene su u tekućoj godini više nego u istom periodu prošle godine.  7 Prihodi od prodaje nefinancijske imovine – više za 7.898,18 eura, za 4.463 % Veća naplata u ov</w:t>
      </w:r>
      <w:r>
        <w:t>oj godini najviše je rezultat prodaje zemljišta u Aleji Dragutina Domjanića.  4 Rashodi za nabavu nefinancijske imovine – manje za 442.145,25 eura, za 31 % U protekloj godini u istom periodu bilo je više rashoda po realizaciji projekata (radovi..), kao i drugih rashoda za nabavu dugotrajne imovine.  8 Primici od financijske imovine i zaduživanja – manje za 691.306,38 eura, za 69 % U prvom polugodištu tekuće godine primljena je jedna uplata po osnovi kreditnog zaduženja  po dugoročnom kreditu od HBOR-a za do</w:t>
      </w:r>
      <w:r>
        <w:t xml:space="preserve">gradnju i rekonstrukciju Kulturnog centra, za razliku od prošle godine gdje je bilo više primitaka po više kredita.  5 Izdaci za financijsku imovinu i otplate zajmova – više za 361.817,59, za 515,60 % U prvom polugodištu tekuće godine otplaćeno je više glavnice po kreditima nego u istom razdoblju prošle godine.  ŠIFRA 9221-9222 Preneseni višak prihoda i primitaka iznosi 2.118.076,58 eura.   ŠIFRA X006 Višak prihoda i primitaka raspoloživ u slijedećem razdoblju iznosi 1.664.497,06 eura.  ŠIFRA Z006 I Z008 </w:t>
      </w:r>
      <w:r>
        <w:lastRenderedPageBreak/>
        <w:t>Pr</w:t>
      </w:r>
      <w:r>
        <w:t>osječan broj zaposlenih na osnovu stanja na početku i na kraju godine iznosi 10 osoba, isto kao i  prosječan broj zaposlenih na osnovu sata rada iznosi 10 osoba.</w:t>
      </w:r>
    </w:p>
    <w:p w14:paraId="54E33555" w14:textId="77777777" w:rsidR="002306B0" w:rsidRDefault="00D34954">
      <w:r>
        <w:br/>
      </w:r>
    </w:p>
    <w:p w14:paraId="2B81E1C3" w14:textId="77777777" w:rsidR="002306B0" w:rsidRDefault="00D34954">
      <w:pPr>
        <w:keepNext/>
        <w:spacing w:line="240" w:lineRule="auto"/>
        <w:jc w:val="center"/>
      </w:pPr>
      <w:r>
        <w:rPr>
          <w:b/>
          <w:sz w:val="28"/>
        </w:rPr>
        <w:t>Izvještaj o obvezama</w:t>
      </w:r>
    </w:p>
    <w:p w14:paraId="30BEAE30" w14:textId="77777777" w:rsidR="002306B0" w:rsidRDefault="00D34954">
      <w:pPr>
        <w:keepNext/>
        <w:spacing w:line="240" w:lineRule="auto"/>
        <w:jc w:val="center"/>
      </w:pPr>
      <w:r>
        <w:rPr>
          <w:sz w:val="28"/>
        </w:rPr>
        <w:t>Bilješka 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2306B0" w14:paraId="1B5D2B3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E2D31B2" w14:textId="77777777" w:rsidR="002306B0" w:rsidRDefault="00D34954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6D82D5D" w14:textId="77777777" w:rsidR="002306B0" w:rsidRDefault="00D34954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E512F5C" w14:textId="77777777" w:rsidR="002306B0" w:rsidRDefault="00D34954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B92CFD0" w14:textId="77777777" w:rsidR="002306B0" w:rsidRDefault="00D34954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A3B2DEA" w14:textId="77777777" w:rsidR="002306B0" w:rsidRDefault="00D34954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2306B0" w14:paraId="1D21059F" w14:textId="77777777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04EF80D" w14:textId="77777777" w:rsidR="002306B0" w:rsidRDefault="002306B0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08EF139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dospjelih obveza na kraju izvještajnog razdoblja (šifre V008+D23+D24 + 'D dio 25,26' + 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6C90422" w14:textId="77777777" w:rsidR="002306B0" w:rsidRDefault="00D34954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8B03976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B9924AE" w14:textId="77777777" w:rsidR="002306B0" w:rsidRDefault="00D34954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16E17982" w14:textId="77777777" w:rsidR="002306B0" w:rsidRDefault="002306B0">
      <w:pPr>
        <w:spacing w:after="0"/>
      </w:pPr>
    </w:p>
    <w:p w14:paraId="62FF3469" w14:textId="77777777" w:rsidR="002306B0" w:rsidRDefault="00D34954">
      <w:pPr>
        <w:spacing w:line="240" w:lineRule="auto"/>
        <w:jc w:val="both"/>
      </w:pPr>
      <w:r>
        <w:t>Stanje obveza na kraju izvještajnog razdoblja iznosi 2.242.668,73 eura od čega se cjelokupni iznos odnosi na nedospjele obveze. Dospjelih obveza nema. Nedospjele obveze u manjem iznosu odnose se na obveze dobavljačima, obveze za sredstva za ogrjev korisnicima Centra za socijalnu skrb. Najveći iznos u visini od 2.238.503,90 eura odnosi se na obveze vraćanja četiri dugoročna kredita.</w:t>
      </w:r>
    </w:p>
    <w:p w14:paraId="738A8538" w14:textId="77777777" w:rsidR="002306B0" w:rsidRDefault="002306B0"/>
    <w:sectPr w:rsidR="00230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B0"/>
    <w:rsid w:val="002306B0"/>
    <w:rsid w:val="00924246"/>
    <w:rsid w:val="00D3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7AC7"/>
  <w15:docId w15:val="{CABD7BEC-012E-44D6-BE66-D1CF16AB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r-HR" w:eastAsia="hr-H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1060</Words>
  <Characters>6047</Characters>
  <Application>Microsoft Office Word</Application>
  <DocSecurity>0</DocSecurity>
  <Lines>50</Lines>
  <Paragraphs>14</Paragraphs>
  <ScaleCrop>false</ScaleCrop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Hajdaš</dc:creator>
  <cp:lastModifiedBy>Suzana Hajdaš</cp:lastModifiedBy>
  <cp:revision>2</cp:revision>
  <dcterms:created xsi:type="dcterms:W3CDTF">2025-07-07T11:40:00Z</dcterms:created>
  <dcterms:modified xsi:type="dcterms:W3CDTF">2025-07-07T11:40:00Z</dcterms:modified>
</cp:coreProperties>
</file>